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1FD" w:rsidRDefault="002F21FD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2F21FD" w:rsidRDefault="002F21FD">
      <w:pPr>
        <w:pStyle w:val="ConsPlusNormal"/>
        <w:ind w:firstLine="540"/>
        <w:jc w:val="both"/>
        <w:outlineLvl w:val="0"/>
      </w:pPr>
    </w:p>
    <w:p w:rsidR="002F21FD" w:rsidRDefault="002F21FD">
      <w:pPr>
        <w:pStyle w:val="ConsPlusTitle"/>
        <w:jc w:val="center"/>
        <w:outlineLvl w:val="0"/>
      </w:pPr>
      <w:r>
        <w:t>АДМИНИСТРАЦИЯ ГОРОДА КРАСНОЯРСКА</w:t>
      </w:r>
    </w:p>
    <w:p w:rsidR="002F21FD" w:rsidRDefault="002F21FD">
      <w:pPr>
        <w:pStyle w:val="ConsPlusTitle"/>
        <w:jc w:val="center"/>
      </w:pPr>
    </w:p>
    <w:p w:rsidR="002F21FD" w:rsidRDefault="002F21FD">
      <w:pPr>
        <w:pStyle w:val="ConsPlusTitle"/>
        <w:jc w:val="center"/>
      </w:pPr>
      <w:r>
        <w:t>ПОСТАНОВЛЕНИЕ</w:t>
      </w:r>
    </w:p>
    <w:p w:rsidR="002F21FD" w:rsidRDefault="002F21FD">
      <w:pPr>
        <w:pStyle w:val="ConsPlusTitle"/>
        <w:jc w:val="center"/>
      </w:pPr>
      <w:r>
        <w:t>от 21 мая 2024 г. N 450</w:t>
      </w:r>
    </w:p>
    <w:p w:rsidR="002F21FD" w:rsidRDefault="002F21FD">
      <w:pPr>
        <w:pStyle w:val="ConsPlusTitle"/>
        <w:jc w:val="center"/>
      </w:pPr>
    </w:p>
    <w:p w:rsidR="002F21FD" w:rsidRDefault="002F21FD">
      <w:pPr>
        <w:pStyle w:val="ConsPlusTitle"/>
        <w:jc w:val="center"/>
      </w:pPr>
      <w:r>
        <w:t>ОБ УТВЕРЖДЕНИИ КОНЦЕПЦИИ ОРГАНИЗАЦИИ ПИТАНИЯ В МУНИЦИПАЛЬНЫХ</w:t>
      </w:r>
    </w:p>
    <w:p w:rsidR="002F21FD" w:rsidRDefault="002F21FD">
      <w:pPr>
        <w:pStyle w:val="ConsPlusTitle"/>
        <w:jc w:val="center"/>
      </w:pPr>
      <w:r>
        <w:t>ОБРАЗОВАТЕЛЬНЫХ ОРГАНИЗАЦИЯХ ГОРОДА КРАСНОЯРСКА НА ПЕРИОД</w:t>
      </w:r>
    </w:p>
    <w:p w:rsidR="002F21FD" w:rsidRDefault="002F21FD">
      <w:pPr>
        <w:pStyle w:val="ConsPlusTitle"/>
        <w:jc w:val="center"/>
      </w:pPr>
      <w:r>
        <w:t>ДО 2030 ГОДА</w:t>
      </w:r>
    </w:p>
    <w:p w:rsidR="002F21FD" w:rsidRDefault="002F21FD">
      <w:pPr>
        <w:pStyle w:val="ConsPlusNormal"/>
        <w:ind w:firstLine="540"/>
        <w:jc w:val="both"/>
      </w:pPr>
    </w:p>
    <w:p w:rsidR="002F21FD" w:rsidRDefault="002F21FD">
      <w:pPr>
        <w:pStyle w:val="ConsPlusNormal"/>
        <w:ind w:firstLine="540"/>
        <w:jc w:val="both"/>
      </w:pPr>
      <w:r>
        <w:t xml:space="preserve">В целях совершенствования системы горячего питания в муниципальных образовательных организациях, руководствуясь </w:t>
      </w:r>
      <w:hyperlink r:id="rId5">
        <w:r>
          <w:rPr>
            <w:color w:val="0000FF"/>
          </w:rPr>
          <w:t>статьями 41</w:t>
        </w:r>
      </w:hyperlink>
      <w:r>
        <w:t xml:space="preserve">, </w:t>
      </w:r>
      <w:hyperlink r:id="rId6">
        <w:r>
          <w:rPr>
            <w:color w:val="0000FF"/>
          </w:rPr>
          <w:t>58</w:t>
        </w:r>
      </w:hyperlink>
      <w:r>
        <w:t xml:space="preserve">, </w:t>
      </w:r>
      <w:hyperlink r:id="rId7">
        <w:r>
          <w:rPr>
            <w:color w:val="0000FF"/>
          </w:rPr>
          <w:t>59</w:t>
        </w:r>
      </w:hyperlink>
      <w:r>
        <w:t xml:space="preserve"> Устава города Красноярска, постановляю: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 xml:space="preserve">1. Утвердить </w:t>
      </w:r>
      <w:hyperlink w:anchor="P27">
        <w:r>
          <w:rPr>
            <w:color w:val="0000FF"/>
          </w:rPr>
          <w:t>Концепцию</w:t>
        </w:r>
      </w:hyperlink>
      <w:r>
        <w:t xml:space="preserve"> организации питания в муниципальных образовательных организациях города Красноярска на период до 2030 года согласно приложению.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 xml:space="preserve">2. Признать утратившим силу </w:t>
      </w:r>
      <w:hyperlink r:id="rId8">
        <w:r>
          <w:rPr>
            <w:color w:val="0000FF"/>
          </w:rPr>
          <w:t>Постановление</w:t>
        </w:r>
      </w:hyperlink>
      <w:r>
        <w:t xml:space="preserve"> администрации города от 06.07.2021 N 485 "Об одобрении концепции развития системы школьного питания города Красноярска на период до 2023 года".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3. Настоящее Постановление опубликовать в газете "Городские новости" и разместить на официальном сайте администрации города.</w:t>
      </w:r>
    </w:p>
    <w:p w:rsidR="002F21FD" w:rsidRDefault="002F21FD">
      <w:pPr>
        <w:pStyle w:val="ConsPlusNormal"/>
        <w:ind w:firstLine="540"/>
        <w:jc w:val="both"/>
      </w:pPr>
    </w:p>
    <w:p w:rsidR="002F21FD" w:rsidRDefault="002F21FD">
      <w:pPr>
        <w:pStyle w:val="ConsPlusNormal"/>
        <w:jc w:val="right"/>
      </w:pPr>
      <w:r>
        <w:t>Глава города</w:t>
      </w:r>
    </w:p>
    <w:p w:rsidR="002F21FD" w:rsidRDefault="002F21FD">
      <w:pPr>
        <w:pStyle w:val="ConsPlusNormal"/>
        <w:jc w:val="right"/>
      </w:pPr>
      <w:r>
        <w:t>В.А.ЛОГИНОВ</w:t>
      </w:r>
    </w:p>
    <w:p w:rsidR="002F21FD" w:rsidRDefault="002F21FD">
      <w:pPr>
        <w:pStyle w:val="ConsPlusNormal"/>
        <w:ind w:firstLine="540"/>
        <w:jc w:val="both"/>
      </w:pPr>
    </w:p>
    <w:p w:rsidR="002F21FD" w:rsidRDefault="002F21FD">
      <w:pPr>
        <w:pStyle w:val="ConsPlusNormal"/>
        <w:ind w:firstLine="540"/>
        <w:jc w:val="both"/>
      </w:pPr>
    </w:p>
    <w:p w:rsidR="002F21FD" w:rsidRDefault="002F21FD">
      <w:pPr>
        <w:pStyle w:val="ConsPlusNormal"/>
        <w:ind w:firstLine="540"/>
        <w:jc w:val="both"/>
      </w:pPr>
    </w:p>
    <w:p w:rsidR="002F21FD" w:rsidRDefault="002F21FD">
      <w:pPr>
        <w:pStyle w:val="ConsPlusNormal"/>
        <w:ind w:firstLine="540"/>
        <w:jc w:val="both"/>
      </w:pPr>
    </w:p>
    <w:p w:rsidR="002F21FD" w:rsidRDefault="002F21FD">
      <w:pPr>
        <w:pStyle w:val="ConsPlusNormal"/>
        <w:ind w:firstLine="540"/>
        <w:jc w:val="both"/>
      </w:pPr>
    </w:p>
    <w:p w:rsidR="002F21FD" w:rsidRDefault="002F21FD">
      <w:pPr>
        <w:pStyle w:val="ConsPlusNormal"/>
        <w:jc w:val="right"/>
        <w:outlineLvl w:val="0"/>
      </w:pPr>
      <w:r>
        <w:t>Приложение</w:t>
      </w:r>
    </w:p>
    <w:p w:rsidR="002F21FD" w:rsidRDefault="002F21FD">
      <w:pPr>
        <w:pStyle w:val="ConsPlusNormal"/>
        <w:jc w:val="right"/>
      </w:pPr>
      <w:r>
        <w:t>к Постановлению</w:t>
      </w:r>
    </w:p>
    <w:p w:rsidR="002F21FD" w:rsidRDefault="002F21FD">
      <w:pPr>
        <w:pStyle w:val="ConsPlusNormal"/>
        <w:jc w:val="right"/>
      </w:pPr>
      <w:r>
        <w:t>администрации города</w:t>
      </w:r>
    </w:p>
    <w:p w:rsidR="002F21FD" w:rsidRDefault="002F21FD">
      <w:pPr>
        <w:pStyle w:val="ConsPlusNormal"/>
        <w:jc w:val="right"/>
      </w:pPr>
      <w:r>
        <w:t>от 21 мая 2024 г. N 450</w:t>
      </w:r>
    </w:p>
    <w:p w:rsidR="002F21FD" w:rsidRDefault="002F21FD">
      <w:pPr>
        <w:pStyle w:val="ConsPlusNormal"/>
        <w:ind w:firstLine="540"/>
        <w:jc w:val="both"/>
      </w:pPr>
    </w:p>
    <w:p w:rsidR="002F21FD" w:rsidRDefault="002F21FD">
      <w:pPr>
        <w:pStyle w:val="ConsPlusTitle"/>
        <w:jc w:val="center"/>
      </w:pPr>
      <w:bookmarkStart w:id="1" w:name="P27"/>
      <w:bookmarkEnd w:id="1"/>
      <w:r>
        <w:t>КОНЦЕПЦИЯ</w:t>
      </w:r>
    </w:p>
    <w:p w:rsidR="002F21FD" w:rsidRDefault="002F21FD">
      <w:pPr>
        <w:pStyle w:val="ConsPlusTitle"/>
        <w:jc w:val="center"/>
      </w:pPr>
      <w:r>
        <w:t>ОРГАНИЗАЦИИ ПИТАНИЯ В МУНИЦИПАЛЬНЫХ ОБРАЗОВАТЕЛЬНЫХ</w:t>
      </w:r>
    </w:p>
    <w:p w:rsidR="002F21FD" w:rsidRDefault="002F21FD">
      <w:pPr>
        <w:pStyle w:val="ConsPlusTitle"/>
        <w:jc w:val="center"/>
      </w:pPr>
      <w:r>
        <w:t>ОРГАНИЗАЦИЯХ ГОРОДА КРАСНОЯРСКА НА ПЕРИОД ДО 2030 ГОДА</w:t>
      </w:r>
    </w:p>
    <w:p w:rsidR="002F21FD" w:rsidRDefault="002F21FD">
      <w:pPr>
        <w:pStyle w:val="ConsPlusNormal"/>
        <w:ind w:firstLine="540"/>
        <w:jc w:val="both"/>
      </w:pPr>
    </w:p>
    <w:p w:rsidR="002F21FD" w:rsidRDefault="002F21FD">
      <w:pPr>
        <w:pStyle w:val="ConsPlusTitle"/>
        <w:jc w:val="center"/>
        <w:outlineLvl w:val="1"/>
      </w:pPr>
      <w:r>
        <w:t>I. ВВЕДЕНИЕ</w:t>
      </w:r>
    </w:p>
    <w:p w:rsidR="002F21FD" w:rsidRDefault="002F21FD">
      <w:pPr>
        <w:pStyle w:val="ConsPlusNormal"/>
        <w:ind w:firstLine="540"/>
        <w:jc w:val="both"/>
      </w:pPr>
    </w:p>
    <w:p w:rsidR="002F21FD" w:rsidRDefault="002F21FD">
      <w:pPr>
        <w:pStyle w:val="ConsPlusNormal"/>
        <w:ind w:firstLine="540"/>
        <w:jc w:val="both"/>
      </w:pPr>
      <w:r>
        <w:t>Настоящая Концепция организации питания в муниципальных образовательных организациях города Красноярска на период до 2030 года (далее - Концепция) разработана главным управлением образования администрации города Красноярска (далее - главное управление образования), представителями муниципальных общеобразовательных учреждений города Красноярска (далее - образовательные организации, дошкольные организации, общеобразовательные организации).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 xml:space="preserve">Концепция разработана в соответствии с Федеральными законами от 06.10.2003 </w:t>
      </w:r>
      <w:hyperlink r:id="rId9">
        <w:r>
          <w:rPr>
            <w:color w:val="0000FF"/>
          </w:rPr>
          <w:t>N 131-ФЗ</w:t>
        </w:r>
      </w:hyperlink>
      <w:r>
        <w:t xml:space="preserve"> "Об общих принципах организации местного самоуправления в Российской Федерации", от 29.12.2012 </w:t>
      </w:r>
      <w:hyperlink r:id="rId10">
        <w:r>
          <w:rPr>
            <w:color w:val="0000FF"/>
          </w:rPr>
          <w:t>N 273-ФЗ</w:t>
        </w:r>
      </w:hyperlink>
      <w:r>
        <w:t xml:space="preserve"> "Об образовании в Российской Федерации", </w:t>
      </w:r>
      <w:hyperlink r:id="rId11">
        <w:r>
          <w:rPr>
            <w:color w:val="0000FF"/>
          </w:rPr>
          <w:t>Законом</w:t>
        </w:r>
      </w:hyperlink>
      <w:r>
        <w:t xml:space="preserve"> Красноярского края от 02.11.2000 N 12-961 "О защите прав ребенка", Постановлениями администрации города от 27.06.2005 </w:t>
      </w:r>
      <w:hyperlink r:id="rId12">
        <w:r>
          <w:rPr>
            <w:color w:val="0000FF"/>
          </w:rPr>
          <w:t>N 367</w:t>
        </w:r>
      </w:hyperlink>
      <w:r>
        <w:t xml:space="preserve"> "Об организации питания в муниципальных образовательных организациях города Красноярска", от 07.09.2023 </w:t>
      </w:r>
      <w:hyperlink r:id="rId13">
        <w:r>
          <w:rPr>
            <w:color w:val="0000FF"/>
          </w:rPr>
          <w:t>N 646</w:t>
        </w:r>
      </w:hyperlink>
      <w:r>
        <w:t xml:space="preserve"> "Об утверждении Концепции </w:t>
      </w:r>
      <w:proofErr w:type="spellStart"/>
      <w:r>
        <w:t>цифровизации</w:t>
      </w:r>
      <w:proofErr w:type="spellEnd"/>
      <w:r>
        <w:t xml:space="preserve"> муниципального образования города Красноярска до 2030 года".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Концепция содержит комплекс целей, задач, определяет основные направления и механизмы развития системы организации питания в образовательных организациях города Красноярска.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Концепция является основой для разработки и реализации мероприятий в целях внедрения современных подходов к организации питания в образовательных организация.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 xml:space="preserve">Действие Концепции направлено на создание условий для полного охвата обучающихся общеобразовательных организаций горячим питанием, переоснащение технологическим оборудованием пищеблоков общеобразовательных и дошкольных организаций, формирование культуры питания обучающихся и воспитанников образовательных организаций, внедрение цифровой системы безналичной оплаты питания во всех общеобразовательных организациях, обеспечение </w:t>
      </w:r>
      <w:proofErr w:type="spellStart"/>
      <w:r>
        <w:t>цифровизации</w:t>
      </w:r>
      <w:proofErr w:type="spellEnd"/>
      <w:r>
        <w:t xml:space="preserve"> контроля за питанием в дошкольных и общеобразовательных организациях для родителей, поставщиков, повышение профессионального уровня и компетентности кадрового состава работников пищеблоков и ответственных за питание в образовательных организациях.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 xml:space="preserve">Направления Концепции согласуются с задачами федерального проекта "Школа Министерства просвещения России" (поддержана Коллегией Министерства просвещения Российской Федерации, протокол от 08.04.2022 N ПК-1вн), где в магистральных направлениях вторым по значению </w:t>
      </w:r>
      <w:r>
        <w:lastRenderedPageBreak/>
        <w:t>приоритетом является "Здоровье".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Положения Концепции будут учитываться при разработке муниципальной программы "Развитие образования в городе Красноярске".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Концепция будет реализована совместными усилиями органов местного самоуправления города Красноярска, образовательных организаций.</w:t>
      </w:r>
    </w:p>
    <w:p w:rsidR="002F21FD" w:rsidRDefault="002F21FD">
      <w:pPr>
        <w:pStyle w:val="ConsPlusNormal"/>
        <w:ind w:firstLine="540"/>
        <w:jc w:val="both"/>
      </w:pPr>
    </w:p>
    <w:p w:rsidR="002F21FD" w:rsidRDefault="002F21FD">
      <w:pPr>
        <w:pStyle w:val="ConsPlusTitle"/>
        <w:jc w:val="center"/>
        <w:outlineLvl w:val="1"/>
      </w:pPr>
      <w:r>
        <w:t>II. ЦЕЛЬ И ЗАДАЧИ КОНЦЕПЦИИ</w:t>
      </w:r>
    </w:p>
    <w:p w:rsidR="002F21FD" w:rsidRDefault="002F21FD">
      <w:pPr>
        <w:pStyle w:val="ConsPlusNormal"/>
        <w:ind w:firstLine="540"/>
        <w:jc w:val="both"/>
      </w:pPr>
    </w:p>
    <w:p w:rsidR="002F21FD" w:rsidRDefault="002F21FD">
      <w:pPr>
        <w:pStyle w:val="ConsPlusNormal"/>
        <w:ind w:firstLine="540"/>
        <w:jc w:val="both"/>
      </w:pPr>
      <w:r>
        <w:t>Цель Концепции - создание эффективной комплексной системы организации полноценного, качественного и безопасного горячего питания в образовательных организациях города Красноярска.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Достижение поставленной цели предполагается осуществить за счет решения следующих задач: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обеспечение обучающихся горячим питанием;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совершенствование инфраструктуры (материально-технической базы) для процесса организации питания в образовательных организациях и обеспечения возможности перехода к индустриальному подходу организации питания;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внедрение цифровой системы безналичной оплаты питания во всех общеобразовательных организациях;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 xml:space="preserve">обеспечение </w:t>
      </w:r>
      <w:proofErr w:type="spellStart"/>
      <w:r>
        <w:t>цифровизации</w:t>
      </w:r>
      <w:proofErr w:type="spellEnd"/>
      <w:r>
        <w:t xml:space="preserve"> контроля за питанием в дошкольных и общеобразовательных организациях для родителей, поставщиков;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формирование культуры здорового питания в образовательных организациях;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создание условий для повышения профессионального уровня и компетентности кадрового состава работников пищеблоков и ответственных за питание в образовательных организациях.</w:t>
      </w:r>
    </w:p>
    <w:p w:rsidR="002F21FD" w:rsidRDefault="002F21FD">
      <w:pPr>
        <w:pStyle w:val="ConsPlusNormal"/>
        <w:ind w:firstLine="540"/>
        <w:jc w:val="both"/>
      </w:pPr>
    </w:p>
    <w:p w:rsidR="002F21FD" w:rsidRDefault="002F21FD">
      <w:pPr>
        <w:pStyle w:val="ConsPlusTitle"/>
        <w:jc w:val="center"/>
        <w:outlineLvl w:val="1"/>
      </w:pPr>
      <w:r>
        <w:t>III. ОБЩИЕ СВЕДЕНИЯ О ДЕЙСТВУЮЩЕЙ СИСТЕМЕ ПИТАНИЯ</w:t>
      </w:r>
    </w:p>
    <w:p w:rsidR="002F21FD" w:rsidRDefault="002F21FD">
      <w:pPr>
        <w:pStyle w:val="ConsPlusTitle"/>
        <w:jc w:val="center"/>
      </w:pPr>
      <w:r>
        <w:t>В ДОШКОЛЬНЫХ И ОБЩЕОБРАЗОВАТЕЛЬНЫХ ОРГАНИЗАЦИЯХ</w:t>
      </w:r>
    </w:p>
    <w:p w:rsidR="002F21FD" w:rsidRDefault="002F21FD">
      <w:pPr>
        <w:pStyle w:val="ConsPlusNormal"/>
        <w:ind w:firstLine="540"/>
        <w:jc w:val="both"/>
      </w:pPr>
    </w:p>
    <w:p w:rsidR="002F21FD" w:rsidRDefault="002F21FD">
      <w:pPr>
        <w:pStyle w:val="ConsPlusNormal"/>
        <w:ind w:firstLine="540"/>
        <w:jc w:val="both"/>
      </w:pPr>
      <w:r>
        <w:t xml:space="preserve">Основными задачами организации питания обучающихся в общеобразовательной и дошкольной организации являются создание условий, направленных на обеспечение обучающихся рациональным и сбалансированным питанием, гарантирование качества и безопасности питания, пищевых продуктов, используемых в приготовлении блюд, пропаганда принципов здорового и популяризация полноценного и </w:t>
      </w:r>
      <w:r>
        <w:lastRenderedPageBreak/>
        <w:t>сбалансированного питания.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Организация безопасного, качественного и здорового питания в дошкольных и общеобразовательных организациях осуществляется в соответствии с требованиями действующего санитарного законодательства Российской Федерации и Красноярского края.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 xml:space="preserve">Гигиенические показатели пищевой ценности продовольственного сырья и пищевых продуктов должны соответствовать санитарно-эпидемиологическим </w:t>
      </w:r>
      <w:hyperlink r:id="rId14">
        <w:r>
          <w:rPr>
            <w:color w:val="0000FF"/>
          </w:rPr>
          <w:t>правилам</w:t>
        </w:r>
      </w:hyperlink>
      <w:r>
        <w:t xml:space="preserve"> и нормам СанПиН 2.3/2.4.3590-20 "Санитарно-эпидемиологические требования к организации общественного питания населения", утвержденным Постановлением Главного государственного санитарного врача Российской Федерации от 27.10.2020 N 32 (далее - санитарные Правила), Методическим </w:t>
      </w:r>
      <w:hyperlink r:id="rId15">
        <w:r>
          <w:rPr>
            <w:color w:val="0000FF"/>
          </w:rPr>
          <w:t>рекомендациям</w:t>
        </w:r>
      </w:hyperlink>
      <w:r>
        <w:t xml:space="preserve"> к организации общественного питания населения (МР 2.3.6.0233-21), утвержденным Главным государственным санитарным врачом Российской Федерации от 02.03.2021.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Стоимость питания обеспечивается за счет бюджетных ассигнований федерального бюджета, средств краевого бюджета, бюджета города Красноярска и иных источников финансирования, предусмотренных законодательством Российской Федерации.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В дошкольных и общеобразовательных организациях представлены следующие формы организации питания обучающихся: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специализированными организациями (операторы питания), выполняющими услуги по организации питания по договору (по системе аутсорсинга);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на основании гражданско-правового договора, заключаемого образовательной организацией с организацией общественного питания (юридическое лицо, индивидуальный предприниматель);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непосредственно силами образовательной организации - специально закрепленными штатами;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путем предоставления бесплатных наборов продуктов питания за счет средств краевого бюджета.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Питание осуществляется в соответствии с цикличными меню: основного (организованного) питания, меню дополнительного питания, индивидуальных меню диетического питания (при необходимости). Цикличные меню разрабатываются и реализовываются в соответствии с требованиями действующего законодательства Российской Федерации.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lastRenderedPageBreak/>
        <w:t>Обучающимся с ограниченными возможностями здоровья, осваивающим основные общеобразовательные программы, обучение которых организовано общеобразовательными организациями на дому, осуществляется выплата денежной компенсации взамен бесплатного горячего питания.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При организации питания обучающихся, нуждающихся в лечебном и диетическом питании, должны соблюдаться следующие требования: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для обучающихся, нуждающихся в лечебном и диетическом питании, должно быть организовано лечебное и диетическое питание в соответствии с представленными родителями назначениями лечащего врача;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индивидуальное меню должно быть разработано специалистом-диетологом с учетом заболевания обучающегося (по назначениям лечащего врача);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выдача обучающимся рационов питания должна осуществляться в соответствии с утвержденными индивидуальными меню под контролем ответственных лиц, назначенных в образовательной организации;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в образовательной организации, осуществляющей питание обучающихся, нуждающихся в лечебном и диетическом питании, допускается употребление обучающимися готовых домашних блюд, предоставленных родителями, в обеденном зале или специально отведенных помещениях (местах), оборудованных столами и стульями, холодильником (в зависимости от количества питающихся в данной форме) для временного хранения готовых блюд и пищевой продукции, микроволновыми печами для разогрева блюд, условиями для мытья рук.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При организации дополнительного питания обучающихся в образовательных организациях должны соблюдаться следующие требования: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ассортимент дополнительного питания (буфетной продукции) должен приниматься с учетом ограничений, предусмотренных санитарными Правилами;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для организации дополнительного питания обучающихся допускается реализация пищевой продукции через аппараты для автоматической выдачи пищевой продукции.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В случае организации питания обучающихся посредством аутсорсинга оператор питания вправе оказывать услуги по организации питания в общеобразовательных организациях и за родительскую плату на основании договора между общеобразовательной организацией и организацией общественного питания (оператор питания).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lastRenderedPageBreak/>
        <w:t>Независимо от формы организации питания контроль и ответственность за процесс организации питания возлагается на дошкольную или общеобразовательную организацию.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На дошкольные и общеобразовательные организации также возлагаются функции контроля: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за обеспечением охвата горячим питанием, в том числе бесплатным горячим питанием обучающихся по образовательным программам начального общего образования;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за материально-техническим состоянием пищеблоков и обеденных залов, своевременной организацией их текущего и капитального ремонтов, а также технологического и холодильного оборудования;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за оснащением посудой и кухонным инвентарем и в случае необходимости своевременной заменой.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 xml:space="preserve">Для актуализации сведений по организации питания каждая образовательная организация на официальном сайте формирует подраздел "Организация питания в образовательной организации" в разделе "Сведения об образовательной организации" в соответствии с </w:t>
      </w:r>
      <w:hyperlink r:id="rId16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Рособрнадзора</w:t>
      </w:r>
      <w:proofErr w:type="spellEnd"/>
      <w:r>
        <w:t xml:space="preserve"> от 04.08.2023 N 1493 "Об утверждении Требований к структуре официального сайта образовательной организации в информационно-телекоммуникационной сети Интернет и формату представления информации".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Подраздел "Организации питания в образовательной организации" должен содержать следующую информацию: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1. Об условиях питания и охраны здоровья обучающихся.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2. Об условиях питания обучающихся по образовательным программам начального общего образования в общеобразовательных организациях, в том числе: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меню ежедневного горячего питания;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информацию о наличии диетического меню в общеобразовательной организации;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перечни юридических лиц и индивидуальных предпринимателей, оказывающих услуги по организации питания в общеобразовательной организации;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 xml:space="preserve">перечни юридических лиц и индивидуальных предпринимателей, </w:t>
      </w:r>
      <w:r>
        <w:lastRenderedPageBreak/>
        <w:t>поставляющих (реализующих) пищевые продукты и продовольственное сырье в общеобразовательную организацию;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 xml:space="preserve">форму обратной связи </w:t>
      </w:r>
      <w:proofErr w:type="gramStart"/>
      <w:r>
        <w:t>для родителей</w:t>
      </w:r>
      <w:proofErr w:type="gramEnd"/>
      <w:r>
        <w:t xml:space="preserve"> обучающихся и ответы на вопросы родителей по питанию.</w:t>
      </w:r>
    </w:p>
    <w:p w:rsidR="002F21FD" w:rsidRDefault="002F21FD">
      <w:pPr>
        <w:pStyle w:val="ConsPlusNormal"/>
        <w:ind w:firstLine="540"/>
        <w:jc w:val="both"/>
      </w:pPr>
    </w:p>
    <w:p w:rsidR="002F21FD" w:rsidRDefault="002F21FD">
      <w:pPr>
        <w:pStyle w:val="ConsPlusTitle"/>
        <w:jc w:val="center"/>
        <w:outlineLvl w:val="1"/>
      </w:pPr>
      <w:r>
        <w:t>IV. КОНТРОЛЬ И МОНИТОРИНГ ПРИ ОРГАНИЗАЦИИ ПИТАНИЯ</w:t>
      </w:r>
    </w:p>
    <w:p w:rsidR="002F21FD" w:rsidRDefault="002F21FD">
      <w:pPr>
        <w:pStyle w:val="ConsPlusNormal"/>
        <w:ind w:firstLine="540"/>
        <w:jc w:val="both"/>
      </w:pPr>
    </w:p>
    <w:p w:rsidR="002F21FD" w:rsidRDefault="002F21FD">
      <w:pPr>
        <w:pStyle w:val="ConsPlusNormal"/>
        <w:ind w:firstLine="540"/>
        <w:jc w:val="both"/>
      </w:pPr>
      <w:r>
        <w:t>Для обеспечения контроля и мониторинга при организации питания обучающихся образовательных организаций главным управлением образования, образовательными организациями совместно с родительской общественностью проводятся следующие мероприятия: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главным управлением образования изучаются, анализируются и контролируются вопросы, связанные с организацией и обеспечением горячего питания: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1. Соответствие рационов питания установленным требованиям. Контролю подлежат нормативные документы, на основании которых производится кулинарная продукция и требованиям которых блюда должны соответствовать, а также соответствие фактического потребления основных пищевых веществ и продуктов установленным нормам при организации питания.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2. Мероприятия по охране здоровья обучающихся. Соблюдение требований качества и безопасности пищевых продуктов, изготавливаемых блюд, организация производственного контроля, проведение лабораторного контроля качества и безопасности готовых блюд.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 xml:space="preserve">3. Технологический аудит. Устройство и оборудование помещений пищеблоков образовательных организаций в зависимости от типа организации питания в соответствии с требованиями </w:t>
      </w:r>
      <w:hyperlink r:id="rId17">
        <w:r>
          <w:rPr>
            <w:color w:val="0000FF"/>
          </w:rPr>
          <w:t>СП 2.4.3648-20</w:t>
        </w:r>
      </w:hyperlink>
      <w: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утвержденными Постановлением Главного государственного санитарного врача Российской Федерации от 28.09.2020 N 28.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4. Соблюдение установленных требований к результатам работ и услуг. Соответствие режима организация питания режиму пребывания обучающихся в образовательной организации. Обеспечение стоимости питания в соответствии с ценой суточного рациона на одного обучающегося. Обеспечение санитарно-гигиенической безопасности.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 xml:space="preserve">Для обеспечения контроля за качеством питания в образовательных организациях в качестве внешнего контроля организуется и осуществляется родительский контроль (участие) в соответствии с </w:t>
      </w:r>
      <w:hyperlink r:id="rId18">
        <w:r>
          <w:rPr>
            <w:color w:val="0000FF"/>
          </w:rPr>
          <w:t>МР 2.4.0180-20.2.4</w:t>
        </w:r>
      </w:hyperlink>
      <w:r>
        <w:t xml:space="preserve">. Гигиена </w:t>
      </w:r>
      <w:r>
        <w:lastRenderedPageBreak/>
        <w:t>детей и подростков. Родительский контроль за организацией горячего питания детей в общеобразовательных организациях (Методические рекомендации, утвержденные Главным государственным санитарным врачом Российской Федерации от 18.05.2020).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Результаты родительского контроля (участия) ежемесячно анализируются руководителем образовательной организации и организатором (оператором) питания для принятия мер по улучшению качества питания обучающихся.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Образовательная организация организует работу родительского контроля (участия), обеспечивает доступ членов комиссии родительского контроля (участия) в обеденный зал.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Итоги мероприятий родительского контроля (участия) могут явиться основанием для обращения в администрацию образовательной организации, главное управление образования, органы контроля (надзора), к организатору (оператору) питания.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 xml:space="preserve">Порядок проведения мероприятий по родительскому контролю за организацией питания обучающихся, в том числе регламентирующих порядок доступа </w:t>
      </w:r>
      <w:proofErr w:type="gramStart"/>
      <w:r>
        <w:t>родителей</w:t>
      </w:r>
      <w:proofErr w:type="gramEnd"/>
      <w:r>
        <w:t xml:space="preserve"> обучающихся в помещения для приема пищи, регламентируется локальным нормативным актом образовательной организации.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В качестве внутреннего контроля за качеством питания в образовательных организациях приказом руководителя образовательной организации: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назначается ответственный по питанию;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 xml:space="preserve">создается </w:t>
      </w:r>
      <w:proofErr w:type="spellStart"/>
      <w:r>
        <w:t>Бракеражная</w:t>
      </w:r>
      <w:proofErr w:type="spellEnd"/>
      <w:r>
        <w:t xml:space="preserve"> комиссия, которая является постоянно действующим органом образовательной организации.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Для повышения охвата питающихся и достижения плановых показателей в соответствии с муниципальной программой "Развитие образования в городе Красноярске" осуществляется организация мониторинга охвата питанием обучающихся общеобразовательных организаций.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Для оценки качества и удовлетворенности питанием обучающихся в образовательных организациях проводится анкетирование обучающихся и родителей.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Руководитель образовательной организации несет персональную ответственность за организацию питания обучающихся.</w:t>
      </w:r>
    </w:p>
    <w:p w:rsidR="002F21FD" w:rsidRDefault="002F21FD">
      <w:pPr>
        <w:pStyle w:val="ConsPlusNormal"/>
        <w:ind w:firstLine="540"/>
        <w:jc w:val="both"/>
      </w:pPr>
    </w:p>
    <w:p w:rsidR="002F21FD" w:rsidRDefault="002F21FD">
      <w:pPr>
        <w:pStyle w:val="ConsPlusTitle"/>
        <w:jc w:val="center"/>
        <w:outlineLvl w:val="1"/>
      </w:pPr>
      <w:r>
        <w:t xml:space="preserve">V. МАТЕРИАЛЬНО-ТЕХНИЧЕСКОЕ ОСНАЩЕНИЕ ПИЩЕБЛОКОВ </w:t>
      </w:r>
      <w:r>
        <w:lastRenderedPageBreak/>
        <w:t>И ОБЕДЕННЫХ</w:t>
      </w:r>
    </w:p>
    <w:p w:rsidR="002F21FD" w:rsidRDefault="002F21FD">
      <w:pPr>
        <w:pStyle w:val="ConsPlusTitle"/>
        <w:jc w:val="center"/>
      </w:pPr>
      <w:r>
        <w:t>ЗАЛОВ ОБРАЗОВАТЕЛЬНЫХ ОРГАНИЗАЦИЙ</w:t>
      </w:r>
    </w:p>
    <w:p w:rsidR="002F21FD" w:rsidRDefault="002F21FD">
      <w:pPr>
        <w:pStyle w:val="ConsPlusNormal"/>
        <w:ind w:firstLine="540"/>
        <w:jc w:val="both"/>
      </w:pPr>
    </w:p>
    <w:p w:rsidR="002F21FD" w:rsidRDefault="002F21FD">
      <w:pPr>
        <w:pStyle w:val="ConsPlusNormal"/>
        <w:ind w:firstLine="540"/>
        <w:jc w:val="both"/>
      </w:pPr>
      <w:r>
        <w:t>Инфраструктура (материально-техническая оснащенность) пищеблоков и обеденных залов в системе питания в образовательных организациях обеспечивается в соответствии с действующими санитарными нормами (далее - инфраструктура пищеблоков и обеденных залов).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В целях обеспечения инфраструктуры пищеблоков и обеденных залов необходимо: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проведение комплексных капитальных ремонтов с оснащением технологическим оборудованием пищеблоков;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точечная замена физически устаревшего, вышедшего из строя оборудования в соответствии с заранее составленными потребностями.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Приведение инфраструктуры пищеблоков и столовых в дошкольных и общеобразовательных организациях в соответствие с современными требованиями: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обеспечит внедрение новых технологий в систему организации питания и новых методов их обслуживания, в том числе переход к индустриальному подходу организации питания;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будет иметь особое значение для улучшения здоровья обучающихся и внесет определенный вклад в сохранение здоровья населения города Красноярска.</w:t>
      </w:r>
    </w:p>
    <w:p w:rsidR="002F21FD" w:rsidRDefault="002F21FD">
      <w:pPr>
        <w:pStyle w:val="ConsPlusNormal"/>
        <w:ind w:firstLine="540"/>
        <w:jc w:val="both"/>
      </w:pPr>
    </w:p>
    <w:p w:rsidR="002F21FD" w:rsidRDefault="002F21FD">
      <w:pPr>
        <w:pStyle w:val="ConsPlusTitle"/>
        <w:jc w:val="center"/>
        <w:outlineLvl w:val="1"/>
      </w:pPr>
      <w:r>
        <w:t>VI. ЦИФРОВИЗАЦИЯ ПРОЦЕССОВ ПРИ ОРГАНИЗАЦИИ ПИТАНИЯ</w:t>
      </w:r>
    </w:p>
    <w:p w:rsidR="002F21FD" w:rsidRDefault="002F21FD">
      <w:pPr>
        <w:pStyle w:val="ConsPlusNormal"/>
        <w:ind w:firstLine="540"/>
        <w:jc w:val="both"/>
      </w:pPr>
    </w:p>
    <w:p w:rsidR="002F21FD" w:rsidRDefault="002F21FD">
      <w:pPr>
        <w:pStyle w:val="ConsPlusNormal"/>
        <w:ind w:firstLine="540"/>
        <w:jc w:val="both"/>
      </w:pPr>
      <w:r>
        <w:t xml:space="preserve">В целях развития </w:t>
      </w:r>
      <w:proofErr w:type="spellStart"/>
      <w:r>
        <w:t>цифровизации</w:t>
      </w:r>
      <w:proofErr w:type="spellEnd"/>
      <w:r>
        <w:t xml:space="preserve"> процессов при организации питания необходимо учитывать положения Концепции </w:t>
      </w:r>
      <w:proofErr w:type="spellStart"/>
      <w:r>
        <w:t>цифровизации</w:t>
      </w:r>
      <w:proofErr w:type="spellEnd"/>
      <w:r>
        <w:t xml:space="preserve"> муниципального образования города Красноярска до 2030 года. Предусмотрено создание в отрасли "Образование" единой цифровой платформы сферы образования как части региональной цифровой платформы и обеспечение ее интеграции и взаимодействия с приоритетными проектами "Современная цифровая образовательная среда Российской Федерации" и "Цифровая школа" (далее - единая цифровая платформа).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В рамках единой цифровой платформы сферы образования необходимо: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внедрить цифровую систему безналичной оплаты питания во всех общеобразовательных организациях города;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 xml:space="preserve">обеспечить </w:t>
      </w:r>
      <w:proofErr w:type="spellStart"/>
      <w:r>
        <w:t>цифровизацию</w:t>
      </w:r>
      <w:proofErr w:type="spellEnd"/>
      <w:r>
        <w:t xml:space="preserve"> контроля за питанием в дошкольных и </w:t>
      </w:r>
      <w:r>
        <w:lastRenderedPageBreak/>
        <w:t>общеобразовательных организациях для родителей, поставщиков.</w:t>
      </w:r>
    </w:p>
    <w:p w:rsidR="002F21FD" w:rsidRDefault="002F21FD">
      <w:pPr>
        <w:pStyle w:val="ConsPlusNormal"/>
        <w:ind w:firstLine="540"/>
        <w:jc w:val="both"/>
      </w:pPr>
    </w:p>
    <w:p w:rsidR="002F21FD" w:rsidRDefault="002F21FD">
      <w:pPr>
        <w:pStyle w:val="ConsPlusTitle"/>
        <w:jc w:val="center"/>
        <w:outlineLvl w:val="1"/>
      </w:pPr>
      <w:r>
        <w:t>VII. ФОРМИРОВАНИЕ КУЛЬТУРЫ ЗДОРОВОГО ПИТАНИЯ</w:t>
      </w:r>
    </w:p>
    <w:p w:rsidR="002F21FD" w:rsidRDefault="002F21FD">
      <w:pPr>
        <w:pStyle w:val="ConsPlusNormal"/>
        <w:ind w:firstLine="540"/>
        <w:jc w:val="both"/>
      </w:pPr>
    </w:p>
    <w:p w:rsidR="002F21FD" w:rsidRDefault="002F21FD">
      <w:pPr>
        <w:pStyle w:val="ConsPlusNormal"/>
        <w:ind w:firstLine="540"/>
        <w:jc w:val="both"/>
      </w:pPr>
      <w:r>
        <w:t>Основные принципы формирования культуры здорового питания: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организация информационно-просветительской работы по формированию культуры здорового питания обучающихся и их родителей;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включение в образовательную деятельность образовательных программ и внеклассные мероприятия на темы формирования культуры здорового питания;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организация и проведение регулярных мероприятий, посвященных здоровому питанию, совместно с операторами питания, родителями.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Рекомендованные ежедневные мероприятия в образовательной организации по формированию культуры здорового питания у обучающихся: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привитие культурно-гигиенических навыков: мытье рук, культура принятия пищи;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беседы с обучающимися о соблюдении гигиенических правил до и после приема пищи;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эстетическая сервировка стола;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соблюдение доброжелательных правил приема пищи, пожелание "Приятного аппетита", благодарность по окончанию приема пищи;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короткие рассказы воспитателя, классного руководителя о пользе блюд, которые в настоящий момент предлагаются обучающимся;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контроль организации питания со стороны классных руководителей и родителей.</w:t>
      </w:r>
    </w:p>
    <w:p w:rsidR="002F21FD" w:rsidRDefault="002F21FD">
      <w:pPr>
        <w:pStyle w:val="ConsPlusNormal"/>
        <w:ind w:firstLine="540"/>
        <w:jc w:val="both"/>
      </w:pPr>
    </w:p>
    <w:p w:rsidR="002F21FD" w:rsidRDefault="002F21FD">
      <w:pPr>
        <w:pStyle w:val="ConsPlusTitle"/>
        <w:jc w:val="center"/>
        <w:outlineLvl w:val="1"/>
      </w:pPr>
      <w:r>
        <w:t>VIII. ОСНОВНЫЕ НАПРАВЛЕНИЯ РЕАЛИЗАЦИИ КОНЦЕПЦИИ</w:t>
      </w:r>
    </w:p>
    <w:p w:rsidR="002F21FD" w:rsidRDefault="002F21FD">
      <w:pPr>
        <w:pStyle w:val="ConsPlusNormal"/>
        <w:ind w:firstLine="540"/>
        <w:jc w:val="both"/>
      </w:pPr>
    </w:p>
    <w:p w:rsidR="002F21FD" w:rsidRDefault="002F21FD">
      <w:pPr>
        <w:pStyle w:val="ConsPlusNormal"/>
        <w:ind w:firstLine="540"/>
        <w:jc w:val="both"/>
      </w:pPr>
      <w:r>
        <w:t>Для решения поставленных задач, обеспечения целевого и эффективного использования средств бюджетов всех уровней, выделяемых на организацию питания обучающихся, определены следующие приоритетные направления реализации Концепции: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 xml:space="preserve">1. Поэтапный переход общеобразовательных организаций на осуществление питания обучающихся структурными подразделениями образовательной организации со специально закрепленными штатами как </w:t>
      </w:r>
      <w:r>
        <w:lastRenderedPageBreak/>
        <w:t>приоритетному выбору организации питания.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До завершения перехода общеобразовательных организаций на организацию питания собственными пищеблоками питание обучающихся планируется непосредственно организаторами питания, которые будут определены по результатам проведения общеобразовательными организациями конкурсных процедур в соответствии с действующим законодательством.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2. Определение новых подходов к организации закупок по организации питания для бюджетных и автономных образовательных организаций путем централизации закупок, наделение департамента муниципального заказа администрации города полномочиями по проведению таких закупок.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3. В целях повышения охвата горячим питанием обучающихся в общеобразовательных организациях разработка и принятие муниципального стандарта оказания услуг по организации горячего питания в общеобразовательных организациях города Красноярска.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Взаимодействие с надзорными ведомствами в части информирования о проводимых лабораторных исследованиях (</w:t>
      </w:r>
      <w:proofErr w:type="spellStart"/>
      <w:r>
        <w:t>сельхознадзор</w:t>
      </w:r>
      <w:proofErr w:type="spellEnd"/>
      <w:r>
        <w:t xml:space="preserve">, ветнадзор, </w:t>
      </w:r>
      <w:proofErr w:type="spellStart"/>
      <w:r>
        <w:t>потребнадзор</w:t>
      </w:r>
      <w:proofErr w:type="spellEnd"/>
      <w:r>
        <w:t>).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Оценка качества продуктов, поступающих в дошкольные и общеобразовательные организации, взаимодействие с поставщиками по исключению фальсификата.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4. Модернизация инфраструктуры и технологического оснащения пищеблоков образовательных организаций: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проведение комплексных капитальных ремонтов с оснащением оборудованием - приоритетный и наиболее перспективный способ приведения пищеблоков в нормативное состояние;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точечная замена физически, морально устаревшего, вышедшего из строя оборудования - ежегодно в соответствии с заранее составленным планом;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внедрение механизмов, позволяющих привлекать средства вышестоящих бюджетов, а также внебюджетные источники финансирования, в целях модернизации инфраструктуры и технологического оснащения пищеблоков образовательных организаций.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 xml:space="preserve">5. Переход к индустриальному подходу организации питания, предполагающий изменение работы пищеблоков по типу </w:t>
      </w:r>
      <w:proofErr w:type="spellStart"/>
      <w:r>
        <w:t>доготовочных</w:t>
      </w:r>
      <w:proofErr w:type="spellEnd"/>
      <w:r>
        <w:t xml:space="preserve"> столовых, работающих на сырье и полуфабрикатах различной степени готовности.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lastRenderedPageBreak/>
        <w:t>При проведении комплексных и капитальных ремонтов оснащение оборудованием, соответствующим индустриальному подходу, позволяющему осуществлять приготовление блюд и кулинарных изделий из полуфабрикатов разной степени готовности, их порционирование и выдачу.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6. Продолжение работы по кадровому обеспечению пищеблоков, в том числе с привлечением средств массовой информации, социальных сетей, а также размещение информационных материалов по популяризации профессии повара, пекаря и формирования положительного имиджа питания в дошкольной и общеобразовательной организации.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 xml:space="preserve">Организация и проведение </w:t>
      </w:r>
      <w:proofErr w:type="spellStart"/>
      <w:r>
        <w:t>профориентационных</w:t>
      </w:r>
      <w:proofErr w:type="spellEnd"/>
      <w:r>
        <w:t xml:space="preserve"> мероприятий для обучающихся в общеобразовательных организациях, взаимодействие совместно с краевым государственным казенным учреждением "Центр занятости населения города Красноярска" с целью участия в ярмарках вакансий, в том числе организаторов (операторов) питания, выпускников организаций среднего профессионального образования по направлению "общественное питание".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В целях повышения качества профессиональной подготовки действующих сотрудников обеспечение их участия в программах повышения квалификации. Направление на оплачиваемую производственную практику студентов старших курсов учреждений среднего профессионального образования с возможностью последующего трудоустройства.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Организация для руководителей образовательных учреждений повышения квалификации по проблеме организации питания на современном этапе, а также по вопросу формирования навыков безопасного образа жизни, в том числе культуры здорового питания у обучающихся.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Для организаторов школьного питания в общеобразовательных организациях - семинары по вопросам управления в сфере школьного питания.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7. Продолжение регулярного родительского контроля в каждой образовательной организации. Проведение совместных мероприятий с операторами питания, обучающимися, родителями (дегустационные дни, дни открытых дверей, текущие встречи).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Повышение компетенции родителей в мероприятиях родительского контроля.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8. В рамках единой цифровой платформы сферы образования планируется: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обеспечить внедрение цифровой системы безналичной оплаты питания во всех общеобразовательных организациях города;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lastRenderedPageBreak/>
        <w:t xml:space="preserve">обеспечить </w:t>
      </w:r>
      <w:proofErr w:type="spellStart"/>
      <w:r>
        <w:t>цифровизацию</w:t>
      </w:r>
      <w:proofErr w:type="spellEnd"/>
      <w:r>
        <w:t xml:space="preserve"> контроля за питанием в дошкольных и общеобразовательных организациях для родителей, поставщиков.</w:t>
      </w:r>
    </w:p>
    <w:p w:rsidR="002F21FD" w:rsidRDefault="002F21FD">
      <w:pPr>
        <w:pStyle w:val="ConsPlusNormal"/>
        <w:ind w:firstLine="540"/>
        <w:jc w:val="both"/>
      </w:pPr>
    </w:p>
    <w:p w:rsidR="002F21FD" w:rsidRDefault="002F21FD">
      <w:pPr>
        <w:pStyle w:val="ConsPlusTitle"/>
        <w:jc w:val="center"/>
        <w:outlineLvl w:val="1"/>
      </w:pPr>
      <w:r>
        <w:t>XI. МЕХАНИЗМ РЕАЛИЗАЦИИ КОНЦЕПЦИИ</w:t>
      </w:r>
    </w:p>
    <w:p w:rsidR="002F21FD" w:rsidRDefault="002F21FD">
      <w:pPr>
        <w:pStyle w:val="ConsPlusNormal"/>
        <w:ind w:firstLine="540"/>
        <w:jc w:val="both"/>
      </w:pPr>
    </w:p>
    <w:p w:rsidR="002F21FD" w:rsidRDefault="002F21FD">
      <w:pPr>
        <w:pStyle w:val="ConsPlusNormal"/>
        <w:ind w:firstLine="540"/>
        <w:jc w:val="both"/>
      </w:pPr>
      <w:r>
        <w:t>В целях реализации Концепции необходимо: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главному управлению образования совместно с общеобразовательными организациями и операторами питания по функционированию системы безопасного и качественного питания обучающихся: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формировать актуальную потребность в средствах на проведение модернизации и оснащения пищеблоков;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осуществлять ежегодное планирование расходов на модернизацию и технологическое оснащения пищеблоков в рамках муниципальной программы "Развитие образования в городе Красноярске";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обеспечить распространение социальной рекламы в общеобразовательных организациях, пропагандирующей здоровое питание обучающихся;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организовать работу по реализации муниципальных (межведомственных) проектов, мероприятий, направленных на формирование культуры питания и популяризацию здорового питания, предусматривающих увеличение охвата горячим питанием обучающихся;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организовать взаимодействие с общественностью по осуществлению контроля за качеством питания в соответствии с Концепцией;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организовать работу горячей линии по вопросам организации питания.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Руководителям общеобразовательных организаций: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сформировать план мероприятий по пропаганде принципов здорового питания в муниципальных общеобразовательных организациях;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принять участие в реализации муниципальных (межведомственных) проектов, направленных на формирование у обучающихся сознательного отношения к рациональному питанию.</w:t>
      </w:r>
    </w:p>
    <w:p w:rsidR="002F21FD" w:rsidRDefault="002F21FD">
      <w:pPr>
        <w:pStyle w:val="ConsPlusNormal"/>
        <w:ind w:firstLine="540"/>
        <w:jc w:val="both"/>
      </w:pPr>
    </w:p>
    <w:p w:rsidR="002F21FD" w:rsidRDefault="002F21FD">
      <w:pPr>
        <w:pStyle w:val="ConsPlusTitle"/>
        <w:jc w:val="center"/>
        <w:outlineLvl w:val="1"/>
      </w:pPr>
      <w:r>
        <w:t>X. ОЦЕНКА ЭФФЕКТИВНОСТИ РЕАЛИЗАЦИИ КОНЦЕПЦИИ</w:t>
      </w:r>
    </w:p>
    <w:p w:rsidR="002F21FD" w:rsidRDefault="002F21FD">
      <w:pPr>
        <w:pStyle w:val="ConsPlusNormal"/>
        <w:ind w:firstLine="540"/>
        <w:jc w:val="both"/>
      </w:pPr>
    </w:p>
    <w:p w:rsidR="002F21FD" w:rsidRDefault="002F21FD">
      <w:pPr>
        <w:pStyle w:val="ConsPlusNormal"/>
        <w:ind w:firstLine="540"/>
        <w:jc w:val="both"/>
      </w:pPr>
      <w:r>
        <w:t xml:space="preserve">Оценка эффективности реализации Концепции осуществляется путем сопоставления фактически достигнутых значений целевых показателей с прогнозируемыми по каждому целевому показателю и каждому году в течение </w:t>
      </w:r>
      <w:r>
        <w:lastRenderedPageBreak/>
        <w:t>всего срока реализации Концепции.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Решение поставленных задач будет характеризоваться следующими целевыми показателями: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доля обучающихся муниципальных общеобразовательных организаций, обеспеченных горячим питанием;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доля обучающихся 1 - 4-х классов муниципальных общеобразовательных организаций, обеспеченных бесплатным горячим питанием;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удовлетворенность населения качеством питания в сфере образования из числа опрошенных.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Значения показателей результативности:</w:t>
      </w:r>
    </w:p>
    <w:p w:rsidR="002F21FD" w:rsidRDefault="002F21F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2891"/>
        <w:gridCol w:w="2778"/>
        <w:gridCol w:w="2721"/>
      </w:tblGrid>
      <w:tr w:rsidR="002F21FD">
        <w:tc>
          <w:tcPr>
            <w:tcW w:w="604" w:type="dxa"/>
          </w:tcPr>
          <w:p w:rsidR="002F21FD" w:rsidRDefault="002F21FD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2891" w:type="dxa"/>
          </w:tcPr>
          <w:p w:rsidR="002F21FD" w:rsidRDefault="002F21FD">
            <w:pPr>
              <w:pStyle w:val="ConsPlusNormal"/>
              <w:jc w:val="center"/>
            </w:pPr>
            <w:r>
              <w:t>Доля обучающихся муниципальных общеобразовательных организаций, обеспеченных горячим питанием, %</w:t>
            </w:r>
          </w:p>
        </w:tc>
        <w:tc>
          <w:tcPr>
            <w:tcW w:w="2778" w:type="dxa"/>
          </w:tcPr>
          <w:p w:rsidR="002F21FD" w:rsidRDefault="002F21FD">
            <w:pPr>
              <w:pStyle w:val="ConsPlusNormal"/>
              <w:jc w:val="center"/>
            </w:pPr>
            <w:r>
              <w:t>Доля обучающихся 1 - 4-х классов муниципальных общеобразовательных организаций, обеспеченных бесплатным горячим питанием, %</w:t>
            </w:r>
          </w:p>
        </w:tc>
        <w:tc>
          <w:tcPr>
            <w:tcW w:w="2721" w:type="dxa"/>
          </w:tcPr>
          <w:p w:rsidR="002F21FD" w:rsidRDefault="002F21FD">
            <w:pPr>
              <w:pStyle w:val="ConsPlusNormal"/>
              <w:jc w:val="center"/>
            </w:pPr>
            <w:r>
              <w:t>Удовлетворенность населения качеством питания в сфере образования из числа опрошенных, %</w:t>
            </w:r>
          </w:p>
        </w:tc>
      </w:tr>
      <w:tr w:rsidR="002F21FD">
        <w:tc>
          <w:tcPr>
            <w:tcW w:w="604" w:type="dxa"/>
          </w:tcPr>
          <w:p w:rsidR="002F21FD" w:rsidRDefault="002F21FD">
            <w:pPr>
              <w:pStyle w:val="ConsPlusNormal"/>
            </w:pPr>
            <w:r>
              <w:t>2023</w:t>
            </w:r>
          </w:p>
        </w:tc>
        <w:tc>
          <w:tcPr>
            <w:tcW w:w="2891" w:type="dxa"/>
          </w:tcPr>
          <w:p w:rsidR="002F21FD" w:rsidRDefault="002F21FD">
            <w:pPr>
              <w:pStyle w:val="ConsPlusNormal"/>
              <w:jc w:val="center"/>
            </w:pPr>
            <w:r>
              <w:t>93,7</w:t>
            </w:r>
          </w:p>
        </w:tc>
        <w:tc>
          <w:tcPr>
            <w:tcW w:w="2778" w:type="dxa"/>
          </w:tcPr>
          <w:p w:rsidR="002F21FD" w:rsidRDefault="002F21F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721" w:type="dxa"/>
          </w:tcPr>
          <w:p w:rsidR="002F21FD" w:rsidRDefault="002F21FD">
            <w:pPr>
              <w:pStyle w:val="ConsPlusNormal"/>
              <w:jc w:val="center"/>
            </w:pPr>
            <w:r>
              <w:t>50,0</w:t>
            </w:r>
          </w:p>
        </w:tc>
      </w:tr>
      <w:tr w:rsidR="002F21FD">
        <w:tc>
          <w:tcPr>
            <w:tcW w:w="604" w:type="dxa"/>
          </w:tcPr>
          <w:p w:rsidR="002F21FD" w:rsidRDefault="002F21FD">
            <w:pPr>
              <w:pStyle w:val="ConsPlusNormal"/>
            </w:pPr>
            <w:r>
              <w:t>2024</w:t>
            </w:r>
          </w:p>
        </w:tc>
        <w:tc>
          <w:tcPr>
            <w:tcW w:w="2891" w:type="dxa"/>
          </w:tcPr>
          <w:p w:rsidR="002F21FD" w:rsidRDefault="002F21FD">
            <w:pPr>
              <w:pStyle w:val="ConsPlusNormal"/>
              <w:jc w:val="center"/>
            </w:pPr>
            <w:r>
              <w:t>93,8</w:t>
            </w:r>
          </w:p>
        </w:tc>
        <w:tc>
          <w:tcPr>
            <w:tcW w:w="2778" w:type="dxa"/>
          </w:tcPr>
          <w:p w:rsidR="002F21FD" w:rsidRDefault="002F21F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721" w:type="dxa"/>
          </w:tcPr>
          <w:p w:rsidR="002F21FD" w:rsidRDefault="002F21FD">
            <w:pPr>
              <w:pStyle w:val="ConsPlusNormal"/>
              <w:jc w:val="center"/>
            </w:pPr>
            <w:r>
              <w:t>55,0</w:t>
            </w:r>
          </w:p>
        </w:tc>
      </w:tr>
      <w:tr w:rsidR="002F21FD">
        <w:tc>
          <w:tcPr>
            <w:tcW w:w="604" w:type="dxa"/>
          </w:tcPr>
          <w:p w:rsidR="002F21FD" w:rsidRDefault="002F21FD">
            <w:pPr>
              <w:pStyle w:val="ConsPlusNormal"/>
            </w:pPr>
            <w:r>
              <w:t>2025</w:t>
            </w:r>
          </w:p>
        </w:tc>
        <w:tc>
          <w:tcPr>
            <w:tcW w:w="2891" w:type="dxa"/>
          </w:tcPr>
          <w:p w:rsidR="002F21FD" w:rsidRDefault="002F21FD">
            <w:pPr>
              <w:pStyle w:val="ConsPlusNormal"/>
              <w:jc w:val="center"/>
            </w:pPr>
            <w:r>
              <w:t>93,9</w:t>
            </w:r>
          </w:p>
        </w:tc>
        <w:tc>
          <w:tcPr>
            <w:tcW w:w="2778" w:type="dxa"/>
          </w:tcPr>
          <w:p w:rsidR="002F21FD" w:rsidRDefault="002F21F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721" w:type="dxa"/>
          </w:tcPr>
          <w:p w:rsidR="002F21FD" w:rsidRDefault="002F21FD">
            <w:pPr>
              <w:pStyle w:val="ConsPlusNormal"/>
              <w:jc w:val="center"/>
            </w:pPr>
            <w:r>
              <w:t>60,0</w:t>
            </w:r>
          </w:p>
        </w:tc>
      </w:tr>
      <w:tr w:rsidR="002F21FD">
        <w:tc>
          <w:tcPr>
            <w:tcW w:w="604" w:type="dxa"/>
          </w:tcPr>
          <w:p w:rsidR="002F21FD" w:rsidRDefault="002F21FD">
            <w:pPr>
              <w:pStyle w:val="ConsPlusNormal"/>
            </w:pPr>
            <w:r>
              <w:t>2026</w:t>
            </w:r>
          </w:p>
        </w:tc>
        <w:tc>
          <w:tcPr>
            <w:tcW w:w="2891" w:type="dxa"/>
          </w:tcPr>
          <w:p w:rsidR="002F21FD" w:rsidRDefault="002F21FD">
            <w:pPr>
              <w:pStyle w:val="ConsPlusNormal"/>
              <w:jc w:val="center"/>
            </w:pPr>
            <w:r>
              <w:t>94,0</w:t>
            </w:r>
          </w:p>
        </w:tc>
        <w:tc>
          <w:tcPr>
            <w:tcW w:w="2778" w:type="dxa"/>
          </w:tcPr>
          <w:p w:rsidR="002F21FD" w:rsidRDefault="002F21F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721" w:type="dxa"/>
          </w:tcPr>
          <w:p w:rsidR="002F21FD" w:rsidRDefault="002F21FD">
            <w:pPr>
              <w:pStyle w:val="ConsPlusNormal"/>
              <w:jc w:val="center"/>
            </w:pPr>
            <w:r>
              <w:t>65,0</w:t>
            </w:r>
          </w:p>
        </w:tc>
      </w:tr>
      <w:tr w:rsidR="002F21FD">
        <w:tc>
          <w:tcPr>
            <w:tcW w:w="604" w:type="dxa"/>
          </w:tcPr>
          <w:p w:rsidR="002F21FD" w:rsidRDefault="002F21FD">
            <w:pPr>
              <w:pStyle w:val="ConsPlusNormal"/>
            </w:pPr>
            <w:r>
              <w:t>2030</w:t>
            </w:r>
          </w:p>
        </w:tc>
        <w:tc>
          <w:tcPr>
            <w:tcW w:w="2891" w:type="dxa"/>
          </w:tcPr>
          <w:p w:rsidR="002F21FD" w:rsidRDefault="002F21FD">
            <w:pPr>
              <w:pStyle w:val="ConsPlusNormal"/>
              <w:jc w:val="center"/>
            </w:pPr>
            <w:r>
              <w:t>94,0</w:t>
            </w:r>
          </w:p>
        </w:tc>
        <w:tc>
          <w:tcPr>
            <w:tcW w:w="2778" w:type="dxa"/>
          </w:tcPr>
          <w:p w:rsidR="002F21FD" w:rsidRDefault="002F21F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721" w:type="dxa"/>
          </w:tcPr>
          <w:p w:rsidR="002F21FD" w:rsidRDefault="002F21FD">
            <w:pPr>
              <w:pStyle w:val="ConsPlusNormal"/>
              <w:jc w:val="center"/>
            </w:pPr>
            <w:r>
              <w:t>75,0</w:t>
            </w:r>
          </w:p>
        </w:tc>
      </w:tr>
    </w:tbl>
    <w:p w:rsidR="002F21FD" w:rsidRDefault="002F21FD">
      <w:pPr>
        <w:pStyle w:val="ConsPlusNormal"/>
        <w:ind w:firstLine="540"/>
        <w:jc w:val="both"/>
      </w:pPr>
    </w:p>
    <w:p w:rsidR="002F21FD" w:rsidRDefault="002F21FD">
      <w:pPr>
        <w:pStyle w:val="ConsPlusNormal"/>
        <w:ind w:firstLine="540"/>
        <w:jc w:val="both"/>
      </w:pPr>
      <w:r>
        <w:t>В результате достижения целевых показателей реализации Концепции в период до 2030 года пищеблоки и обеденные залы всех муниципальных образовательных организаций будут приведены в соответствие с санитарно-гигиеническими нормами и требованиями, расширен рацион питания, повышено качество питания.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 xml:space="preserve">Кроме того, эффективность реализации Концепции оценивается в </w:t>
      </w:r>
      <w:r>
        <w:lastRenderedPageBreak/>
        <w:t>наличии во всех муниципальных образовательных организациях к концу реализации Концепции: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меню, соответствующего положениям рекомендаций по организации питания обучающихся образовательных организаций;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производственного контроля и лабораторных исследований (испытаний) в соответствии с установленными санитарными нормами и правилами;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родительского контроля (участия) за организацией питания обучающихся;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информации о результатах выполнения контрактных обязательств о качестве и безопасности поставляемых пищевых продуктов.</w:t>
      </w:r>
    </w:p>
    <w:p w:rsidR="002F21FD" w:rsidRDefault="002F21FD">
      <w:pPr>
        <w:pStyle w:val="ConsPlusNormal"/>
        <w:spacing w:before="280"/>
        <w:ind w:firstLine="540"/>
        <w:jc w:val="both"/>
      </w:pPr>
      <w:r>
        <w:t>Обновление инфраструктуры (материально-технической оснащенности) пищеблоков и обеденных залов образовательных организаций за счет средств бюджета города и иных источников финансирования.</w:t>
      </w:r>
    </w:p>
    <w:p w:rsidR="002F21FD" w:rsidRDefault="002F21FD">
      <w:pPr>
        <w:pStyle w:val="ConsPlusNormal"/>
        <w:ind w:firstLine="540"/>
        <w:jc w:val="both"/>
      </w:pPr>
    </w:p>
    <w:p w:rsidR="002F21FD" w:rsidRDefault="002F21FD">
      <w:pPr>
        <w:pStyle w:val="ConsPlusNormal"/>
        <w:ind w:firstLine="540"/>
        <w:jc w:val="both"/>
      </w:pPr>
    </w:p>
    <w:p w:rsidR="002F21FD" w:rsidRDefault="002F21F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138F7" w:rsidRDefault="00D1709A"/>
    <w:sectPr w:rsidR="006138F7" w:rsidSect="00483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1FD"/>
    <w:rsid w:val="00114CC2"/>
    <w:rsid w:val="00205A54"/>
    <w:rsid w:val="002F21FD"/>
    <w:rsid w:val="00491C2B"/>
    <w:rsid w:val="00885395"/>
    <w:rsid w:val="00D1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02118D-2535-4924-BEF9-3010E1A11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21FD"/>
    <w:pPr>
      <w:widowControl w:val="0"/>
      <w:autoSpaceDE w:val="0"/>
      <w:autoSpaceDN w:val="0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2F21FD"/>
    <w:pPr>
      <w:widowControl w:val="0"/>
      <w:autoSpaceDE w:val="0"/>
      <w:autoSpaceDN w:val="0"/>
    </w:pPr>
    <w:rPr>
      <w:rFonts w:eastAsiaTheme="minorEastAsia" w:cs="Times New Roman"/>
      <w:b/>
      <w:lang w:eastAsia="ru-RU"/>
    </w:rPr>
  </w:style>
  <w:style w:type="paragraph" w:customStyle="1" w:styleId="ConsPlusTitlePage">
    <w:name w:val="ConsPlusTitlePage"/>
    <w:rsid w:val="002F21FD"/>
    <w:pPr>
      <w:widowControl w:val="0"/>
      <w:autoSpaceDE w:val="0"/>
      <w:autoSpaceDN w:val="0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23&amp;n=270069" TargetMode="External"/><Relationship Id="rId13" Type="http://schemas.openxmlformats.org/officeDocument/2006/relationships/hyperlink" Target="https://login.consultant.ru/link/?req=doc&amp;base=RLAW123&amp;n=316798" TargetMode="External"/><Relationship Id="rId18" Type="http://schemas.openxmlformats.org/officeDocument/2006/relationships/hyperlink" Target="https://login.consultant.ru/link/?req=doc&amp;base=LAW&amp;n=35477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123&amp;n=331031&amp;dst=100480" TargetMode="External"/><Relationship Id="rId12" Type="http://schemas.openxmlformats.org/officeDocument/2006/relationships/hyperlink" Target="https://login.consultant.ru/link/?req=doc&amp;base=RLAW123&amp;n=296487" TargetMode="External"/><Relationship Id="rId17" Type="http://schemas.openxmlformats.org/officeDocument/2006/relationships/hyperlink" Target="https://login.consultant.ru/link/?req=doc&amp;base=LAW&amp;n=371594&amp;dst=10004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63082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23&amp;n=331031&amp;dst=103" TargetMode="External"/><Relationship Id="rId11" Type="http://schemas.openxmlformats.org/officeDocument/2006/relationships/hyperlink" Target="https://login.consultant.ru/link/?req=doc&amp;base=RLAW123&amp;n=335925" TargetMode="External"/><Relationship Id="rId5" Type="http://schemas.openxmlformats.org/officeDocument/2006/relationships/hyperlink" Target="https://login.consultant.ru/link/?req=doc&amp;base=RLAW123&amp;n=331031&amp;dst=100358" TargetMode="External"/><Relationship Id="rId15" Type="http://schemas.openxmlformats.org/officeDocument/2006/relationships/hyperlink" Target="https://login.consultant.ru/link/?req=doc&amp;base=LAW&amp;n=378317" TargetMode="External"/><Relationship Id="rId10" Type="http://schemas.openxmlformats.org/officeDocument/2006/relationships/hyperlink" Target="https://login.consultant.ru/link/?req=doc&amp;base=LAW&amp;n=482648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83062" TargetMode="External"/><Relationship Id="rId14" Type="http://schemas.openxmlformats.org/officeDocument/2006/relationships/hyperlink" Target="https://login.consultant.ru/link/?req=doc&amp;base=LAW&amp;n=367564&amp;dst=1000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4146</Words>
  <Characters>23638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Воднева Надежда Валериевна</dc:creator>
  <cp:lastModifiedBy>user</cp:lastModifiedBy>
  <cp:revision>2</cp:revision>
  <dcterms:created xsi:type="dcterms:W3CDTF">2026-07-09T09:36:00Z</dcterms:created>
  <dcterms:modified xsi:type="dcterms:W3CDTF">2026-07-09T09:36:00Z</dcterms:modified>
</cp:coreProperties>
</file>